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6e105159e444bd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17021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ŠKOLA ZA UMJETNOST, DIZAJN, GRAFIKU I ODJEĆU ZABOK</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2.137.193,88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2.383.160,62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2.237.693,04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2.449.714,96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100.499,16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66.554,34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34.379,06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24.217,47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34.379,06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24.217,47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134.878,22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90.771,81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67,3</w:t>
            </w:r>
          </w:p>
        </w:tc>
      </w:tr>
    </w:tbl>
    <w:p>
      <w:pPr>
        <w:spacing w:before="0" w:after="0"/>
      </w:pPr>
    </w:p>
    <w:p>
      <w:r>
        <w:t xml:space="preserve">Godišnji financijski izvještaj za 2025. godinu sastavljen je za razdoblje siječanj-prosinac 2025 godine nakon svih knjiženja prema propisanom računskom planu i u skladu s financijskim planom odobrenim od nadležnih tijela. U skladu s člancima 15 do 18. Pravilnika o izvještavanju u proračunskom računovodstvu Škola za umjetnost, dizajn, grafiku i odjeću Zabok donosi bilješke uz FI.</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2.137.193,88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2.383.160,62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bl>
    <w:p>
      <w:pPr>
        <w:spacing w:before="0" w:after="0"/>
      </w:pPr>
    </w:p>
    <w:p>
      <w:r>
        <w:t xml:space="preserve">Škola ostvaruje prihode po izvorima:</w:t>
      </w:r>
    </w:p>
    <w:p>
      <w:r>
        <w:t xml:space="preserve"> 5.2.1 za plaće zaposlenika, ostala materijalna pravava radnika( božićnica, regres, pomoći, dar za djeci, usksnica) te za financiranje roditelja djece s teškoćama, psihodijagnostička sredstva, lektiru, troškove državnih natjecanja</w:t>
      </w:r>
    </w:p>
    <w:p>
      <w:r>
        <w:t xml:space="preserve">5.4.1 Prihodi od JLS ostvareni su za izvannastavne aktivnosti od Grada Zaboka te isplate plaća za pomoćnika u nastavi Grad Klanjec 4.170,19</w:t>
      </w:r>
    </w:p>
    <w:p>
      <w:r>
        <w:t xml:space="preserve">3.1.1. Vlastiti prihodi-rad školske radionice, učenička zadruga, najam prostora, duplikati svjedodžbi</w:t>
      </w:r>
    </w:p>
    <w:p>
      <w:r>
        <w:t xml:space="preserve">4.3.1 prihodi od posebne namjene-povećani troškovi nastavnog materijala koje financiraju roditelji prema suglasnosti osnivača; učenici prvih razreda 35, eura, učenici drugih, trećih i četvrtih razreda 33 eura, glazbena đškola 160 eura</w:t>
      </w:r>
    </w:p>
    <w:p>
      <w:r>
        <w:t xml:space="preserve">6.2.1 Donacije- donacije trgovačkih društva za pokrivanje pedagoške pratnje za terenske nastave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190.330,37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Proračunsko računovodstvo temelji se na računovodstvenim načelima točnosti, istinitosti, pouzdanosti i pojedinačnom iskazivanju poslovnih događaja, potrebno je ispraviti pogreške iz prethodnih godina. Kontrolom te uskladom bilance pronađena se pogreške knjiženja iz prethodnih godina kod utvrđivanja viška odnosno manjka prihoda. Sa 31.12.2024. utvđen je višak prihoda od 102.143,26. Ispravcima knjiženja korigira se rezultat u manjak u iznosu od 190.330,37.</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bveze se odnose na ispulatu plaće zaposlenika za prosinac 2025 godine</w:t>
      </w:r>
    </w:p>
    <w:p/>
    <w:p>
      <w:pPr>
        <w:jc w:val="center"/>
        <w:pStyle w:val="Normal"/>
        <w:spacing w:line="240" w:lineRule="auto"/>
        <w:keepNext/>
      </w:pPr>
      <w:r>
        <w:rPr>
          <w:sz w:val="28"/>
          <w:rFonts w:ascii="Times New Roman" w:hAnsi="Times New Roman"/>
        </w:rPr>
        <w:t xml:space="preserve">Bilješka 5.</w:t>
      </w:r>
    </w:p>
    <w:p>
      <w:pPr>
        <w:jc w:val="both"/>
        <w:pStyle w:val="Normal"/>
        <w:spacing w:line="240" w:lineRule="auto"/>
      </w:pPr>
      <w:r>
        <w:rPr>
          <w:b/>
          <w:sz w:val="24"/>
          <w:rFonts w:ascii="Times New Roman" w:hAnsi="Times New Roman"/>
        </w:rPr>
        <w:t xml:space="preserve">EU izvještaj</w:t>
      </w:r>
    </w:p>
    <w:p>
      <w:r>
        <w:t xml:space="preserve">U 2025 godinu sklopljen je Erasmus+ ugovor Projekt 2025-1HR01-KA122-VET-000329028-Moć fotografije u ukupnom iznosu 56173,00.</w:t>
      </w:r>
    </w:p>
    <w:p>
      <w:r>
        <w:t xml:space="preserve">Predujam primljen u iznosu od  44938,40; do sada nije bilo rashoda.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194323bc0fd4fa6" /></Relationships>
</file>